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0A" w:rsidRPr="0041417B" w:rsidRDefault="00FE570A" w:rsidP="00FE570A">
      <w:pPr>
        <w:spacing w:after="0" w:line="240" w:lineRule="auto"/>
        <w:jc w:val="center"/>
        <w:rPr>
          <w:rFonts w:ascii="Helvetica" w:eastAsia="Times New Roman" w:hAnsi="Helvetica" w:cs="Helvetica"/>
          <w:b/>
          <w:szCs w:val="20"/>
          <w:lang w:val="en-US" w:eastAsia="it-IT"/>
        </w:rPr>
      </w:pPr>
      <w:r w:rsidRPr="0041417B">
        <w:rPr>
          <w:rFonts w:ascii="Helvetica" w:eastAsia="Times New Roman" w:hAnsi="Helvetica" w:cs="Helvetica"/>
          <w:b/>
          <w:szCs w:val="20"/>
          <w:lang w:val="en-US" w:eastAsia="it-IT"/>
        </w:rPr>
        <w:t xml:space="preserve">OFFICE SNAPSHOT MI – RM </w:t>
      </w:r>
      <w:r>
        <w:rPr>
          <w:rFonts w:ascii="Helvetica" w:eastAsia="Times New Roman" w:hAnsi="Helvetica" w:cs="Helvetica"/>
          <w:b/>
          <w:szCs w:val="20"/>
          <w:lang w:val="en-US" w:eastAsia="it-IT"/>
        </w:rPr>
        <w:t>Q1-Q3</w:t>
      </w:r>
      <w:r w:rsidRPr="0041417B">
        <w:rPr>
          <w:rFonts w:ascii="Helvetica" w:eastAsia="Times New Roman" w:hAnsi="Helvetica" w:cs="Helvetica"/>
          <w:b/>
          <w:szCs w:val="20"/>
          <w:lang w:val="en-US" w:eastAsia="it-IT"/>
        </w:rPr>
        <w:t xml:space="preserve"> 201</w:t>
      </w:r>
      <w:r>
        <w:rPr>
          <w:rFonts w:ascii="Helvetica" w:eastAsia="Times New Roman" w:hAnsi="Helvetica" w:cs="Helvetica"/>
          <w:b/>
          <w:szCs w:val="20"/>
          <w:lang w:val="en-US" w:eastAsia="it-IT"/>
        </w:rPr>
        <w:t>9</w:t>
      </w:r>
    </w:p>
    <w:p w:rsidR="00FE570A" w:rsidRDefault="00FE570A" w:rsidP="00FE570A">
      <w:pPr>
        <w:jc w:val="both"/>
        <w:rPr>
          <w:iCs/>
          <w:szCs w:val="20"/>
          <w:lang w:val="en-US"/>
        </w:rPr>
      </w:pPr>
    </w:p>
    <w:p w:rsidR="00FE570A" w:rsidRPr="004B5333" w:rsidRDefault="00FE570A" w:rsidP="00FE570A">
      <w:pPr>
        <w:jc w:val="both"/>
        <w:rPr>
          <w:iCs/>
          <w:szCs w:val="20"/>
        </w:rPr>
      </w:pPr>
      <w:r>
        <w:rPr>
          <w:iCs/>
          <w:szCs w:val="20"/>
        </w:rPr>
        <w:t xml:space="preserve">Mercato in </w:t>
      </w:r>
      <w:r w:rsidRPr="004B5333">
        <w:rPr>
          <w:iCs/>
          <w:szCs w:val="20"/>
        </w:rPr>
        <w:t xml:space="preserve">crescita per il settore uffici a Milano e Roma nei primi 9 mesi dell’anno, con un assorbimento stimato nelle 2 città di </w:t>
      </w:r>
      <w:r>
        <w:rPr>
          <w:iCs/>
          <w:szCs w:val="20"/>
        </w:rPr>
        <w:t>circa</w:t>
      </w:r>
      <w:r w:rsidRPr="004B5333">
        <w:rPr>
          <w:iCs/>
          <w:szCs w:val="20"/>
        </w:rPr>
        <w:t xml:space="preserve"> </w:t>
      </w:r>
      <w:r w:rsidRPr="00C20FCA">
        <w:rPr>
          <w:iCs/>
          <w:szCs w:val="20"/>
        </w:rPr>
        <w:t xml:space="preserve">600.000 </w:t>
      </w:r>
      <w:r w:rsidRPr="004B5333">
        <w:rPr>
          <w:iCs/>
          <w:szCs w:val="20"/>
        </w:rPr>
        <w:t>mq</w:t>
      </w:r>
      <w:r>
        <w:rPr>
          <w:iCs/>
          <w:szCs w:val="20"/>
        </w:rPr>
        <w:t>. Particolarmente dinamica la Capitale, che mostra un volume più che raddoppiato a circa 246.000 mq.</w:t>
      </w:r>
    </w:p>
    <w:p w:rsidR="00FE570A" w:rsidRPr="004B5333" w:rsidRDefault="00FE570A" w:rsidP="00FE570A">
      <w:pPr>
        <w:jc w:val="both"/>
        <w:rPr>
          <w:iCs/>
          <w:szCs w:val="20"/>
        </w:rPr>
      </w:pPr>
      <w:r w:rsidRPr="004B5333">
        <w:rPr>
          <w:iCs/>
          <w:szCs w:val="20"/>
        </w:rPr>
        <w:t xml:space="preserve">Il capoluogo lombardo si conferma polo di riferimento in Italia </w:t>
      </w:r>
      <w:r>
        <w:rPr>
          <w:iCs/>
          <w:szCs w:val="20"/>
        </w:rPr>
        <w:t>anche per l’office,</w:t>
      </w:r>
      <w:r w:rsidRPr="004B5333">
        <w:rPr>
          <w:iCs/>
          <w:szCs w:val="20"/>
        </w:rPr>
        <w:t xml:space="preserve"> in grado di competere con le </w:t>
      </w:r>
      <w:r>
        <w:rPr>
          <w:iCs/>
          <w:szCs w:val="20"/>
        </w:rPr>
        <w:t xml:space="preserve">altre </w:t>
      </w:r>
      <w:r w:rsidRPr="004B5333">
        <w:rPr>
          <w:iCs/>
          <w:szCs w:val="20"/>
        </w:rPr>
        <w:t>metropoli europee</w:t>
      </w:r>
      <w:r>
        <w:rPr>
          <w:iCs/>
          <w:szCs w:val="20"/>
        </w:rPr>
        <w:t xml:space="preserve">, in particolare grazie a una hot </w:t>
      </w:r>
      <w:proofErr w:type="spellStart"/>
      <w:r>
        <w:rPr>
          <w:iCs/>
          <w:szCs w:val="20"/>
        </w:rPr>
        <w:t>destination</w:t>
      </w:r>
      <w:proofErr w:type="spellEnd"/>
      <w:r>
        <w:rPr>
          <w:iCs/>
          <w:szCs w:val="20"/>
        </w:rPr>
        <w:t>: il</w:t>
      </w:r>
      <w:r w:rsidRPr="004B5333">
        <w:rPr>
          <w:iCs/>
          <w:szCs w:val="20"/>
        </w:rPr>
        <w:t xml:space="preserve"> Porta Nuova Business </w:t>
      </w:r>
      <w:proofErr w:type="spellStart"/>
      <w:r w:rsidRPr="004B5333">
        <w:rPr>
          <w:iCs/>
          <w:szCs w:val="20"/>
        </w:rPr>
        <w:t>District</w:t>
      </w:r>
      <w:proofErr w:type="spellEnd"/>
      <w:r w:rsidRPr="004B5333">
        <w:rPr>
          <w:iCs/>
          <w:szCs w:val="20"/>
        </w:rPr>
        <w:t>.</w:t>
      </w:r>
      <w:r>
        <w:rPr>
          <w:iCs/>
          <w:szCs w:val="20"/>
        </w:rPr>
        <w:t xml:space="preserve"> Periferia e Hinterland i mercati complessivamente più attivi.</w:t>
      </w:r>
    </w:p>
    <w:p w:rsidR="00FE570A" w:rsidRPr="004B5333" w:rsidRDefault="00FE570A" w:rsidP="00FE570A">
      <w:pPr>
        <w:jc w:val="both"/>
        <w:rPr>
          <w:iCs/>
          <w:szCs w:val="20"/>
        </w:rPr>
      </w:pPr>
      <w:r w:rsidRPr="004B5333">
        <w:rPr>
          <w:iCs/>
          <w:szCs w:val="20"/>
        </w:rPr>
        <w:t>L</w:t>
      </w:r>
      <w:r>
        <w:rPr>
          <w:iCs/>
          <w:szCs w:val="20"/>
        </w:rPr>
        <w:t>a capitale, in significativa</w:t>
      </w:r>
      <w:r w:rsidRPr="004B5333">
        <w:rPr>
          <w:iCs/>
          <w:szCs w:val="20"/>
        </w:rPr>
        <w:t xml:space="preserve"> ripresa, ha messo a segno una delle migliori performance </w:t>
      </w:r>
      <w:r>
        <w:rPr>
          <w:iCs/>
          <w:szCs w:val="20"/>
        </w:rPr>
        <w:t>degli ultimi anni. Preferite la</w:t>
      </w:r>
      <w:r w:rsidRPr="004B5333">
        <w:rPr>
          <w:iCs/>
          <w:szCs w:val="20"/>
        </w:rPr>
        <w:t xml:space="preserve"> zona </w:t>
      </w:r>
      <w:r>
        <w:rPr>
          <w:iCs/>
          <w:szCs w:val="20"/>
        </w:rPr>
        <w:t>EUR e il Centro, ma</w:t>
      </w:r>
      <w:r w:rsidRPr="004B5333">
        <w:rPr>
          <w:iCs/>
          <w:szCs w:val="20"/>
        </w:rPr>
        <w:t xml:space="preserve"> cresce d’interesse, come </w:t>
      </w:r>
      <w:r>
        <w:rPr>
          <w:iCs/>
          <w:szCs w:val="20"/>
        </w:rPr>
        <w:t xml:space="preserve">nuovo </w:t>
      </w:r>
      <w:r w:rsidRPr="004B5333">
        <w:rPr>
          <w:iCs/>
          <w:szCs w:val="20"/>
        </w:rPr>
        <w:t xml:space="preserve">business </w:t>
      </w:r>
      <w:proofErr w:type="spellStart"/>
      <w:r w:rsidRPr="004B5333">
        <w:rPr>
          <w:iCs/>
          <w:szCs w:val="20"/>
        </w:rPr>
        <w:t>district</w:t>
      </w:r>
      <w:proofErr w:type="spellEnd"/>
      <w:r>
        <w:rPr>
          <w:iCs/>
          <w:szCs w:val="20"/>
        </w:rPr>
        <w:t xml:space="preserve"> vicino agli esempi già collaudati di altre capitali europee</w:t>
      </w:r>
      <w:r w:rsidRPr="004B5333">
        <w:rPr>
          <w:iCs/>
          <w:szCs w:val="20"/>
        </w:rPr>
        <w:t xml:space="preserve">, </w:t>
      </w:r>
      <w:r>
        <w:rPr>
          <w:iCs/>
          <w:szCs w:val="20"/>
        </w:rPr>
        <w:t>del</w:t>
      </w:r>
      <w:r w:rsidRPr="004B5333">
        <w:rPr>
          <w:iCs/>
          <w:szCs w:val="20"/>
        </w:rPr>
        <w:t xml:space="preserve">l’asse </w:t>
      </w:r>
      <w:r>
        <w:rPr>
          <w:iCs/>
          <w:szCs w:val="20"/>
        </w:rPr>
        <w:t>Roma-Fiumicino, forte di un elevato livello di infrastrutture: aeroporto, autostrada e treno.</w:t>
      </w:r>
    </w:p>
    <w:p w:rsidR="00FE570A" w:rsidRPr="004B5333" w:rsidRDefault="00FE570A" w:rsidP="00FE570A">
      <w:pPr>
        <w:jc w:val="both"/>
        <w:rPr>
          <w:iCs/>
          <w:szCs w:val="20"/>
        </w:rPr>
      </w:pPr>
      <w:r>
        <w:rPr>
          <w:iCs/>
          <w:szCs w:val="20"/>
        </w:rPr>
        <w:t xml:space="preserve">Gli </w:t>
      </w:r>
      <w:proofErr w:type="spellStart"/>
      <w:r>
        <w:rPr>
          <w:iCs/>
          <w:szCs w:val="20"/>
        </w:rPr>
        <w:t>smart</w:t>
      </w:r>
      <w:proofErr w:type="spellEnd"/>
      <w:r>
        <w:rPr>
          <w:iCs/>
          <w:szCs w:val="20"/>
        </w:rPr>
        <w:t xml:space="preserve"> </w:t>
      </w:r>
      <w:proofErr w:type="spellStart"/>
      <w:r>
        <w:rPr>
          <w:iCs/>
          <w:szCs w:val="20"/>
        </w:rPr>
        <w:t>place</w:t>
      </w:r>
      <w:proofErr w:type="spellEnd"/>
      <w:r>
        <w:rPr>
          <w:iCs/>
          <w:szCs w:val="20"/>
        </w:rPr>
        <w:t xml:space="preserve"> trainano sempre più la richiesta di uffici: spazi efficienti </w:t>
      </w:r>
      <w:r w:rsidRPr="004B5333">
        <w:rPr>
          <w:iCs/>
          <w:szCs w:val="20"/>
        </w:rPr>
        <w:t xml:space="preserve">che sposano il concetto di qualità a tutto tondo, mettendo al centro della progettazione il benessere </w:t>
      </w:r>
      <w:r>
        <w:rPr>
          <w:iCs/>
          <w:szCs w:val="20"/>
        </w:rPr>
        <w:t xml:space="preserve">dei fruitori </w:t>
      </w:r>
      <w:r w:rsidRPr="004B5333">
        <w:rPr>
          <w:iCs/>
          <w:szCs w:val="20"/>
        </w:rPr>
        <w:t>durante, ma anche oltre</w:t>
      </w:r>
      <w:r>
        <w:rPr>
          <w:iCs/>
          <w:szCs w:val="20"/>
        </w:rPr>
        <w:t>,</w:t>
      </w:r>
      <w:r w:rsidRPr="004B5333">
        <w:rPr>
          <w:iCs/>
          <w:szCs w:val="20"/>
        </w:rPr>
        <w:t xml:space="preserve"> l’orario di lavoro. </w:t>
      </w:r>
    </w:p>
    <w:p w:rsidR="00FE570A" w:rsidRDefault="00FE570A" w:rsidP="00FE570A">
      <w:pPr>
        <w:jc w:val="both"/>
        <w:rPr>
          <w:rFonts w:cs="Calibri"/>
          <w:i/>
        </w:rPr>
      </w:pPr>
      <w:r>
        <w:rPr>
          <w:i/>
          <w:iCs/>
          <w:szCs w:val="20"/>
        </w:rPr>
        <w:t>“</w:t>
      </w:r>
      <w:r>
        <w:rPr>
          <w:rFonts w:cs="Calibri"/>
          <w:i/>
        </w:rPr>
        <w:t>Nei primi 9 mesi</w:t>
      </w:r>
      <w:r w:rsidRPr="002603D8">
        <w:rPr>
          <w:rFonts w:cs="Calibri"/>
          <w:i/>
        </w:rPr>
        <w:t xml:space="preserve"> del </w:t>
      </w:r>
      <w:r w:rsidRPr="00542A93">
        <w:rPr>
          <w:rFonts w:cs="Calibri"/>
          <w:i/>
        </w:rPr>
        <w:t xml:space="preserve">2019 </w:t>
      </w:r>
      <w:r>
        <w:rPr>
          <w:rFonts w:cs="Calibri"/>
          <w:b/>
          <w:i/>
        </w:rPr>
        <w:t xml:space="preserve">Milano </w:t>
      </w:r>
      <w:r>
        <w:rPr>
          <w:rFonts w:cs="Calibri"/>
          <w:i/>
        </w:rPr>
        <w:t>conferma</w:t>
      </w:r>
      <w:r w:rsidRPr="002603D8">
        <w:rPr>
          <w:rFonts w:cs="Calibri"/>
          <w:b/>
          <w:i/>
        </w:rPr>
        <w:t xml:space="preserve"> il trend positivo</w:t>
      </w:r>
      <w:r w:rsidRPr="002603D8">
        <w:rPr>
          <w:rFonts w:cs="Calibri"/>
          <w:i/>
        </w:rPr>
        <w:t xml:space="preserve"> p</w:t>
      </w:r>
      <w:r>
        <w:rPr>
          <w:rFonts w:cs="Calibri"/>
          <w:i/>
        </w:rPr>
        <w:t>er il mercato degli uffici:</w:t>
      </w:r>
      <w:r w:rsidRPr="002603D8">
        <w:rPr>
          <w:rFonts w:cs="Calibri"/>
          <w:i/>
        </w:rPr>
        <w:t xml:space="preserve"> </w:t>
      </w:r>
      <w:r w:rsidRPr="002603D8">
        <w:rPr>
          <w:rFonts w:cs="Calibri"/>
          <w:b/>
          <w:i/>
        </w:rPr>
        <w:t xml:space="preserve">l’assorbimento stimato è stato di circa </w:t>
      </w:r>
      <w:r>
        <w:rPr>
          <w:rFonts w:cs="Calibri"/>
          <w:b/>
          <w:i/>
        </w:rPr>
        <w:t>3</w:t>
      </w:r>
      <w:r w:rsidRPr="002603D8">
        <w:rPr>
          <w:rFonts w:cs="Calibri"/>
          <w:b/>
          <w:i/>
        </w:rPr>
        <w:t>60.000 mq</w:t>
      </w:r>
      <w:r>
        <w:rPr>
          <w:rFonts w:cs="Calibri"/>
          <w:i/>
        </w:rPr>
        <w:t xml:space="preserve">, </w:t>
      </w:r>
      <w:r w:rsidRPr="002603D8">
        <w:rPr>
          <w:rFonts w:cs="Calibri"/>
          <w:i/>
        </w:rPr>
        <w:t>in aumento</w:t>
      </w:r>
      <w:r>
        <w:rPr>
          <w:rFonts w:cs="Calibri"/>
          <w:i/>
        </w:rPr>
        <w:t xml:space="preserve"> del </w:t>
      </w:r>
      <w:r w:rsidRPr="002603D8">
        <w:rPr>
          <w:rFonts w:cs="Calibri"/>
          <w:i/>
        </w:rPr>
        <w:t>13</w:t>
      </w:r>
      <w:r>
        <w:rPr>
          <w:rFonts w:cs="Calibri"/>
          <w:i/>
        </w:rPr>
        <w:t>%</w:t>
      </w:r>
      <w:r w:rsidRPr="002603D8">
        <w:rPr>
          <w:rFonts w:cs="Calibri"/>
          <w:i/>
        </w:rPr>
        <w:t xml:space="preserve"> rispetto allo stesso periodo del 2018. In termini di superficie locata, nei primi tre trimestri, i mercati più attivi sono stati l’Hinterland e la Periferia,</w:t>
      </w:r>
      <w:r w:rsidRPr="00FD75F9">
        <w:rPr>
          <w:rFonts w:cs="Calibri"/>
          <w:i/>
          <w:color w:val="FF0000"/>
        </w:rPr>
        <w:t xml:space="preserve"> </w:t>
      </w:r>
      <w:r w:rsidRPr="002603D8">
        <w:rPr>
          <w:rFonts w:cs="Calibri"/>
          <w:i/>
        </w:rPr>
        <w:t>registrando complessivamente il 55% della superficie totale assorbita</w:t>
      </w:r>
      <w:r w:rsidRPr="009C4B13">
        <w:rPr>
          <w:rFonts w:cs="Calibri"/>
          <w:i/>
          <w:color w:val="000000" w:themeColor="text1"/>
        </w:rPr>
        <w:t>. Fermo restando che</w:t>
      </w:r>
      <w:r>
        <w:rPr>
          <w:rFonts w:cs="Calibri"/>
          <w:i/>
          <w:color w:val="000000" w:themeColor="text1"/>
        </w:rPr>
        <w:t xml:space="preserve"> è il Porta Nuova Business </w:t>
      </w:r>
      <w:proofErr w:type="spellStart"/>
      <w:r>
        <w:rPr>
          <w:rFonts w:cs="Calibri"/>
          <w:i/>
          <w:color w:val="000000" w:themeColor="text1"/>
        </w:rPr>
        <w:t>District</w:t>
      </w:r>
      <w:proofErr w:type="spellEnd"/>
      <w:r>
        <w:rPr>
          <w:rFonts w:cs="Calibri"/>
          <w:i/>
          <w:color w:val="000000" w:themeColor="text1"/>
        </w:rPr>
        <w:t xml:space="preserve"> il vero </w:t>
      </w:r>
      <w:proofErr w:type="spellStart"/>
      <w:r>
        <w:rPr>
          <w:rFonts w:cs="Calibri"/>
          <w:i/>
          <w:color w:val="000000" w:themeColor="text1"/>
        </w:rPr>
        <w:t>hub</w:t>
      </w:r>
      <w:proofErr w:type="spellEnd"/>
      <w:r>
        <w:rPr>
          <w:rFonts w:cs="Calibri"/>
          <w:i/>
          <w:color w:val="000000" w:themeColor="text1"/>
        </w:rPr>
        <w:t xml:space="preserve">-office, dove si concentra una significativa richiesta, con un benefico effetto alone sulle zone circostanti. </w:t>
      </w:r>
      <w:r>
        <w:rPr>
          <w:rFonts w:cs="Calibri"/>
          <w:i/>
        </w:rPr>
        <w:t>Nel CBD si</w:t>
      </w:r>
      <w:r w:rsidRPr="002603D8">
        <w:rPr>
          <w:rFonts w:cs="Calibri"/>
          <w:i/>
        </w:rPr>
        <w:t xml:space="preserve"> segnala un aumento dei canoni prime a circa </w:t>
      </w:r>
      <w:r w:rsidRPr="002603D8">
        <w:rPr>
          <w:rFonts w:cs="Calibri"/>
          <w:b/>
          <w:i/>
        </w:rPr>
        <w:t>580 €/mq annuo</w:t>
      </w:r>
      <w:r w:rsidRPr="002603D8">
        <w:rPr>
          <w:rFonts w:cs="Calibri"/>
          <w:i/>
        </w:rPr>
        <w:t>.</w:t>
      </w:r>
      <w:r w:rsidRPr="00FD75F9">
        <w:rPr>
          <w:rFonts w:cs="Calibri"/>
          <w:i/>
          <w:color w:val="FF0000"/>
        </w:rPr>
        <w:t xml:space="preserve"> </w:t>
      </w:r>
      <w:r>
        <w:rPr>
          <w:rFonts w:cs="Calibri"/>
          <w:i/>
        </w:rPr>
        <w:t xml:space="preserve">Passando alla </w:t>
      </w:r>
      <w:r w:rsidRPr="002603D8">
        <w:rPr>
          <w:rFonts w:cs="Calibri"/>
          <w:b/>
          <w:i/>
        </w:rPr>
        <w:t>Capitale</w:t>
      </w:r>
      <w:r>
        <w:rPr>
          <w:rFonts w:cs="Calibri"/>
          <w:i/>
        </w:rPr>
        <w:t>, s</w:t>
      </w:r>
      <w:r w:rsidRPr="00A86FCF">
        <w:rPr>
          <w:rFonts w:cs="Calibri"/>
          <w:i/>
        </w:rPr>
        <w:t xml:space="preserve">i registrano canoni in aumento, con un prime </w:t>
      </w:r>
      <w:proofErr w:type="spellStart"/>
      <w:r w:rsidRPr="00A86FCF">
        <w:rPr>
          <w:rFonts w:cs="Calibri"/>
          <w:i/>
        </w:rPr>
        <w:t>rent</w:t>
      </w:r>
      <w:proofErr w:type="spellEnd"/>
      <w:r w:rsidRPr="00A86FCF">
        <w:rPr>
          <w:rFonts w:cs="Calibri"/>
          <w:i/>
        </w:rPr>
        <w:t xml:space="preserve"> nelle zone più centrali della città pari a </w:t>
      </w:r>
      <w:r w:rsidRPr="00A86FCF">
        <w:rPr>
          <w:rFonts w:cs="Calibri"/>
          <w:b/>
          <w:i/>
        </w:rPr>
        <w:t>440 €/mq annuo</w:t>
      </w:r>
      <w:r>
        <w:rPr>
          <w:rFonts w:cs="Calibri"/>
          <w:i/>
        </w:rPr>
        <w:t>.</w:t>
      </w:r>
    </w:p>
    <w:p w:rsidR="00FE570A" w:rsidRDefault="00FE570A" w:rsidP="00FE570A">
      <w:pPr>
        <w:jc w:val="both"/>
        <w:rPr>
          <w:rFonts w:cs="Calibri"/>
          <w:i/>
        </w:rPr>
      </w:pPr>
      <w:r>
        <w:rPr>
          <w:rFonts w:cs="Calibri"/>
          <w:i/>
        </w:rPr>
        <w:t xml:space="preserve">A livello di format, le richieste premiano gli spazi di qualità: non solo in termini di costruzione e di efficienza, ormai scontata, ma soprattutto per quanto riguarda il comfort dei dipendenti. Perché se un lavoratore sta bene, si esprime anche al meglio. Per i giovani, soprattutto, l’attenzione al luogo dove si lavora è sinonimo di attenzione al lavoratore stesso. Gli </w:t>
      </w:r>
      <w:proofErr w:type="spellStart"/>
      <w:r>
        <w:rPr>
          <w:rFonts w:cs="Calibri"/>
          <w:i/>
        </w:rPr>
        <w:t>smart</w:t>
      </w:r>
      <w:proofErr w:type="spellEnd"/>
      <w:r>
        <w:rPr>
          <w:rFonts w:cs="Calibri"/>
          <w:i/>
        </w:rPr>
        <w:t xml:space="preserve"> </w:t>
      </w:r>
      <w:proofErr w:type="spellStart"/>
      <w:r>
        <w:rPr>
          <w:rFonts w:cs="Calibri"/>
          <w:i/>
        </w:rPr>
        <w:t>place</w:t>
      </w:r>
      <w:proofErr w:type="spellEnd"/>
      <w:r>
        <w:rPr>
          <w:rFonts w:cs="Calibri"/>
          <w:i/>
        </w:rPr>
        <w:t xml:space="preserve"> garantiscono aree di aggregazioni e servizi per i momenti sia di lavoro e confronto, con postazioni non convenzionali, sia per quelli ludici e di relax come il pranzo, il break e anche il tempo libero. Non a caso, adesso un benchmark è la certificazione WELL, che ha  come obiettivo il benessere del lavoratore  a 360 gradi, quale risultante di un approccio olistico che facilita la valorizzazione della performance dell’individuo, messo a suo agio.</w:t>
      </w:r>
    </w:p>
    <w:p w:rsidR="00FE570A" w:rsidRPr="0003685D" w:rsidRDefault="00FE570A" w:rsidP="00FE570A">
      <w:pPr>
        <w:contextualSpacing/>
        <w:jc w:val="both"/>
        <w:rPr>
          <w:iCs/>
          <w:sz w:val="20"/>
          <w:szCs w:val="20"/>
        </w:rPr>
      </w:pPr>
      <w:r w:rsidRPr="0003685D">
        <w:rPr>
          <w:rFonts w:ascii="Helvetica" w:hAnsi="Helvetica" w:cs="Helvetica"/>
          <w:b/>
          <w:iCs/>
        </w:rPr>
        <w:t>Luca Blasi Toccacelli</w:t>
      </w:r>
    </w:p>
    <w:p w:rsidR="00FE570A" w:rsidRPr="0003685D" w:rsidRDefault="00FE570A" w:rsidP="00FE570A">
      <w:pPr>
        <w:spacing w:line="240" w:lineRule="auto"/>
        <w:contextualSpacing/>
        <w:rPr>
          <w:rFonts w:ascii="Helvetica" w:hAnsi="Helvetica" w:cs="Helvetica"/>
          <w:b/>
          <w:iCs/>
          <w:color w:val="666666"/>
          <w:sz w:val="17"/>
          <w:szCs w:val="17"/>
        </w:rPr>
      </w:pPr>
      <w:r w:rsidRPr="0003685D">
        <w:rPr>
          <w:rFonts w:ascii="Helvetica" w:hAnsi="Helvetica" w:cs="Helvetica"/>
          <w:b/>
          <w:iCs/>
          <w:color w:val="666666"/>
          <w:sz w:val="17"/>
          <w:szCs w:val="17"/>
        </w:rPr>
        <w:t>Direttore Generale Divisione Agency</w:t>
      </w:r>
    </w:p>
    <w:p w:rsidR="00FE570A" w:rsidRDefault="00FE570A" w:rsidP="00FE570A">
      <w:pPr>
        <w:spacing w:line="240" w:lineRule="auto"/>
        <w:contextualSpacing/>
        <w:rPr>
          <w:rFonts w:ascii="Helvetica" w:hAnsi="Helvetica" w:cs="Helvetica"/>
          <w:b/>
          <w:iCs/>
          <w:sz w:val="17"/>
          <w:szCs w:val="17"/>
        </w:rPr>
      </w:pPr>
      <w:r w:rsidRPr="0003685D">
        <w:rPr>
          <w:rFonts w:ascii="Helvetica" w:hAnsi="Helvetica" w:cs="Helvetica"/>
          <w:b/>
          <w:iCs/>
          <w:sz w:val="17"/>
          <w:szCs w:val="17"/>
        </w:rPr>
        <w:t>Gruppo Gabetti</w:t>
      </w:r>
    </w:p>
    <w:p w:rsidR="00FE570A" w:rsidRDefault="00FE570A" w:rsidP="00FE570A">
      <w:pPr>
        <w:spacing w:line="240" w:lineRule="auto"/>
        <w:contextualSpacing/>
        <w:rPr>
          <w:rFonts w:ascii="Helvetica" w:hAnsi="Helvetica" w:cs="Helvetica"/>
          <w:b/>
          <w:iCs/>
          <w:sz w:val="17"/>
          <w:szCs w:val="17"/>
        </w:rPr>
      </w:pPr>
    </w:p>
    <w:p w:rsidR="00FE570A" w:rsidRDefault="00FE570A" w:rsidP="00FE570A">
      <w:pPr>
        <w:spacing w:line="240" w:lineRule="auto"/>
        <w:contextualSpacing/>
        <w:rPr>
          <w:rFonts w:ascii="Helvetica" w:hAnsi="Helvetica" w:cs="Helvetica"/>
          <w:b/>
          <w:iCs/>
          <w:sz w:val="17"/>
          <w:szCs w:val="17"/>
        </w:rPr>
      </w:pPr>
    </w:p>
    <w:p w:rsidR="00FE570A" w:rsidRDefault="00FE570A" w:rsidP="00FE570A">
      <w:pPr>
        <w:spacing w:line="240" w:lineRule="auto"/>
        <w:contextualSpacing/>
        <w:rPr>
          <w:rFonts w:ascii="Helvetica" w:hAnsi="Helvetica" w:cs="Helvetica"/>
          <w:b/>
          <w:iCs/>
          <w:sz w:val="17"/>
          <w:szCs w:val="17"/>
        </w:rPr>
      </w:pPr>
    </w:p>
    <w:p w:rsidR="00FE570A" w:rsidRDefault="00FE570A" w:rsidP="00FE570A">
      <w:pPr>
        <w:spacing w:line="240" w:lineRule="auto"/>
        <w:contextualSpacing/>
        <w:rPr>
          <w:rFonts w:ascii="Helvetica" w:hAnsi="Helvetica" w:cs="Helvetica"/>
          <w:b/>
          <w:iCs/>
          <w:sz w:val="17"/>
          <w:szCs w:val="17"/>
        </w:rPr>
      </w:pPr>
    </w:p>
    <w:p w:rsidR="00FE570A" w:rsidRDefault="00FE570A" w:rsidP="00FE570A">
      <w:pPr>
        <w:spacing w:line="240" w:lineRule="auto"/>
        <w:contextualSpacing/>
        <w:rPr>
          <w:rFonts w:ascii="Helvetica" w:hAnsi="Helvetica" w:cs="Helvetica"/>
          <w:b/>
          <w:iCs/>
          <w:sz w:val="17"/>
          <w:szCs w:val="17"/>
        </w:rPr>
      </w:pPr>
    </w:p>
    <w:p w:rsidR="00FE570A" w:rsidRDefault="00FE570A" w:rsidP="00FE570A">
      <w:pPr>
        <w:spacing w:line="240" w:lineRule="auto"/>
        <w:contextualSpacing/>
        <w:rPr>
          <w:rFonts w:ascii="Helvetica" w:hAnsi="Helvetica" w:cs="Helvetica"/>
          <w:b/>
          <w:iCs/>
          <w:sz w:val="17"/>
          <w:szCs w:val="17"/>
        </w:rPr>
      </w:pPr>
    </w:p>
    <w:p w:rsidR="00FE570A" w:rsidRDefault="00FE570A" w:rsidP="00FE570A">
      <w:pPr>
        <w:spacing w:line="240" w:lineRule="auto"/>
        <w:contextualSpacing/>
        <w:rPr>
          <w:rFonts w:ascii="Helvetica" w:hAnsi="Helvetica" w:cs="Helvetica"/>
          <w:b/>
          <w:iCs/>
          <w:sz w:val="17"/>
          <w:szCs w:val="17"/>
        </w:rPr>
      </w:pPr>
    </w:p>
    <w:p w:rsidR="00FE570A" w:rsidRDefault="00FE570A" w:rsidP="00FE570A">
      <w:pPr>
        <w:spacing w:line="240" w:lineRule="auto"/>
        <w:contextualSpacing/>
        <w:rPr>
          <w:rFonts w:ascii="Helvetica" w:hAnsi="Helvetica" w:cs="Helvetica"/>
          <w:b/>
          <w:iCs/>
          <w:sz w:val="17"/>
          <w:szCs w:val="17"/>
        </w:rPr>
      </w:pPr>
    </w:p>
    <w:p w:rsidR="00FE570A" w:rsidRDefault="00FE570A" w:rsidP="00FE570A">
      <w:pPr>
        <w:spacing w:line="240" w:lineRule="auto"/>
        <w:contextualSpacing/>
        <w:rPr>
          <w:rFonts w:ascii="Helvetica" w:hAnsi="Helvetica" w:cs="Helvetica"/>
          <w:b/>
          <w:iCs/>
          <w:sz w:val="17"/>
          <w:szCs w:val="17"/>
        </w:rPr>
      </w:pPr>
    </w:p>
    <w:p w:rsidR="00FE570A" w:rsidRDefault="00FE570A" w:rsidP="00FE570A">
      <w:pPr>
        <w:spacing w:line="240" w:lineRule="auto"/>
        <w:contextualSpacing/>
        <w:rPr>
          <w:rFonts w:cs="Calibri"/>
          <w:i/>
          <w:color w:val="FF0000"/>
        </w:rPr>
      </w:pPr>
    </w:p>
    <w:p w:rsidR="00FE570A" w:rsidRDefault="00FE570A" w:rsidP="00FE570A">
      <w:pPr>
        <w:spacing w:line="240" w:lineRule="auto"/>
        <w:contextualSpacing/>
        <w:rPr>
          <w:rFonts w:cs="Calibri"/>
          <w:i/>
          <w:color w:val="FF0000"/>
        </w:rPr>
      </w:pPr>
    </w:p>
    <w:p w:rsidR="00FE570A" w:rsidRDefault="00FE570A" w:rsidP="00FE570A">
      <w:pPr>
        <w:spacing w:line="240" w:lineRule="auto"/>
        <w:contextualSpacing/>
        <w:rPr>
          <w:rFonts w:cs="Calibri"/>
          <w:i/>
          <w:color w:val="FF0000"/>
        </w:rPr>
      </w:pPr>
    </w:p>
    <w:p w:rsidR="00FE570A" w:rsidRPr="00085C42" w:rsidRDefault="00FE570A" w:rsidP="00FE570A">
      <w:pPr>
        <w:spacing w:line="240" w:lineRule="auto"/>
        <w:contextualSpacing/>
        <w:rPr>
          <w:rFonts w:ascii="Helvetica" w:hAnsi="Helvetica" w:cs="Helvetica"/>
          <w:b/>
          <w:iCs/>
          <w:sz w:val="20"/>
        </w:rPr>
      </w:pPr>
      <w:r w:rsidRPr="00085C42">
        <w:rPr>
          <w:rFonts w:ascii="Helvetica" w:hAnsi="Helvetica" w:cs="Helvetica"/>
          <w:b/>
          <w:iCs/>
          <w:sz w:val="20"/>
        </w:rPr>
        <w:t>KEY FINDINGS</w:t>
      </w:r>
    </w:p>
    <w:p w:rsidR="00FE570A" w:rsidRPr="00085C42" w:rsidRDefault="00FE570A" w:rsidP="00FE570A">
      <w:pPr>
        <w:spacing w:line="240" w:lineRule="auto"/>
        <w:contextualSpacing/>
        <w:rPr>
          <w:rFonts w:ascii="Helvetica" w:hAnsi="Helvetica" w:cs="Helvetica"/>
          <w:iCs/>
          <w:sz w:val="10"/>
        </w:rPr>
      </w:pPr>
    </w:p>
    <w:p w:rsidR="00FE570A" w:rsidRPr="00B23408" w:rsidRDefault="00FE570A" w:rsidP="00FE570A">
      <w:pPr>
        <w:spacing w:line="240" w:lineRule="auto"/>
        <w:contextualSpacing/>
        <w:rPr>
          <w:rFonts w:ascii="Helvetica" w:hAnsi="Helvetica" w:cs="Helvetica"/>
          <w:iCs/>
          <w:sz w:val="20"/>
        </w:rPr>
      </w:pPr>
      <w:r w:rsidRPr="00085C42">
        <w:rPr>
          <w:rFonts w:ascii="Helvetica" w:hAnsi="Helvetica" w:cs="Helvetica"/>
          <w:iCs/>
          <w:sz w:val="20"/>
        </w:rPr>
        <w:t>Il mercato ad uso uffici a Milano e Roma negli ultimi 12 mesi (Q4 2018-Q3 2019) ha rilevato un aumento del +26,4% dell’assorbimento rispetto ai 12 mesi precedenti (Q4 2017-Q3 2018).</w:t>
      </w:r>
    </w:p>
    <w:p w:rsidR="00FE570A" w:rsidRPr="00FD75F9" w:rsidRDefault="00FE570A" w:rsidP="00FE570A">
      <w:pPr>
        <w:jc w:val="both"/>
        <w:rPr>
          <w:rFonts w:cs="Calibri"/>
          <w:i/>
          <w:color w:val="FF000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FE570A" w:rsidRPr="001C1910" w:rsidTr="005B4C0A">
        <w:trPr>
          <w:trHeight w:val="94"/>
        </w:trPr>
        <w:tc>
          <w:tcPr>
            <w:tcW w:w="4962" w:type="dxa"/>
            <w:shd w:val="clear" w:color="auto" w:fill="D9D9D9"/>
            <w:vAlign w:val="center"/>
          </w:tcPr>
          <w:p w:rsidR="00FE570A" w:rsidRPr="00937073" w:rsidRDefault="00FE570A" w:rsidP="005B4C0A">
            <w:pPr>
              <w:spacing w:line="240" w:lineRule="auto"/>
              <w:ind w:left="360"/>
              <w:contextualSpacing/>
              <w:rPr>
                <w:rFonts w:ascii="Helvetica" w:hAnsi="Helvetica" w:cs="Helvetica"/>
                <w:b/>
                <w:i/>
                <w:iCs/>
                <w:sz w:val="18"/>
              </w:rPr>
            </w:pPr>
            <w:r w:rsidRPr="00937073">
              <w:rPr>
                <w:rFonts w:ascii="Helvetica" w:hAnsi="Helvetica" w:cs="Helvetica"/>
                <w:b/>
                <w:i/>
                <w:iCs/>
                <w:sz w:val="18"/>
              </w:rPr>
              <w:t>MILANO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FE570A" w:rsidRPr="00937073" w:rsidRDefault="00FE570A" w:rsidP="005B4C0A">
            <w:pPr>
              <w:spacing w:line="240" w:lineRule="auto"/>
              <w:contextualSpacing/>
              <w:rPr>
                <w:rFonts w:ascii="Helvetica" w:hAnsi="Helvetica" w:cs="Helvetica"/>
                <w:b/>
                <w:i/>
                <w:iCs/>
                <w:sz w:val="18"/>
              </w:rPr>
            </w:pPr>
            <w:r>
              <w:rPr>
                <w:rFonts w:ascii="Helvetica" w:hAnsi="Helvetica" w:cs="Helvetica"/>
                <w:b/>
                <w:i/>
                <w:iCs/>
                <w:sz w:val="18"/>
              </w:rPr>
              <w:t xml:space="preserve"> </w:t>
            </w:r>
            <w:r w:rsidRPr="00937073">
              <w:rPr>
                <w:rFonts w:ascii="Helvetica" w:hAnsi="Helvetica" w:cs="Helvetica"/>
                <w:b/>
                <w:i/>
                <w:iCs/>
                <w:sz w:val="18"/>
              </w:rPr>
              <w:t>ROMA</w:t>
            </w:r>
          </w:p>
        </w:tc>
      </w:tr>
      <w:tr w:rsidR="00FE570A" w:rsidRPr="00B1135C" w:rsidTr="005B4C0A">
        <w:tc>
          <w:tcPr>
            <w:tcW w:w="4962" w:type="dxa"/>
            <w:shd w:val="clear" w:color="auto" w:fill="auto"/>
          </w:tcPr>
          <w:p w:rsidR="00FE570A" w:rsidRDefault="00FE570A" w:rsidP="00FE570A">
            <w:pPr>
              <w:numPr>
                <w:ilvl w:val="0"/>
                <w:numId w:val="4"/>
              </w:numPr>
              <w:spacing w:before="120" w:line="240" w:lineRule="auto"/>
              <w:contextualSpacing/>
              <w:jc w:val="both"/>
              <w:rPr>
                <w:rFonts w:ascii="Helvetica" w:hAnsi="Helvetica" w:cs="Helvetica"/>
                <w:iCs/>
                <w:color w:val="000000"/>
                <w:sz w:val="18"/>
              </w:rPr>
            </w:pP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 xml:space="preserve">Nei primi nove mesi del 2019 l’assorbimento stimato per Milano è stato di circa </w:t>
            </w:r>
            <w:r>
              <w:rPr>
                <w:rFonts w:ascii="Helvetica" w:hAnsi="Helvetica" w:cs="Helvetica"/>
                <w:iCs/>
                <w:color w:val="000000"/>
                <w:sz w:val="18"/>
              </w:rPr>
              <w:t>3</w:t>
            </w: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>60.000 mq (considerando i principali operatori ed una quota frammentata tra operatori minori).</w:t>
            </w:r>
          </w:p>
          <w:p w:rsidR="00FE570A" w:rsidRPr="002D00CF" w:rsidRDefault="00FE570A" w:rsidP="005B4C0A">
            <w:pPr>
              <w:spacing w:before="120" w:line="240" w:lineRule="auto"/>
              <w:ind w:left="360"/>
              <w:contextualSpacing/>
              <w:jc w:val="both"/>
              <w:rPr>
                <w:rFonts w:ascii="Helvetica" w:hAnsi="Helvetica" w:cs="Helvetica"/>
                <w:iCs/>
                <w:color w:val="000000"/>
                <w:sz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FE570A" w:rsidRPr="00A86FCF" w:rsidRDefault="00FE570A" w:rsidP="00FE570A">
            <w:pPr>
              <w:numPr>
                <w:ilvl w:val="0"/>
                <w:numId w:val="4"/>
              </w:numPr>
              <w:spacing w:before="120" w:line="240" w:lineRule="auto"/>
              <w:contextualSpacing/>
              <w:jc w:val="both"/>
              <w:rPr>
                <w:rFonts w:ascii="Helvetica" w:hAnsi="Helvetica" w:cs="Helvetica"/>
                <w:iCs/>
                <w:color w:val="FF0000"/>
                <w:sz w:val="18"/>
              </w:rPr>
            </w:pPr>
            <w:r w:rsidRPr="00A86FCF">
              <w:rPr>
                <w:rFonts w:ascii="Helvetica" w:hAnsi="Helvetica" w:cs="Helvetica"/>
                <w:iCs/>
                <w:sz w:val="18"/>
              </w:rPr>
              <w:t xml:space="preserve">L’assorbimento stimato per Roma </w:t>
            </w:r>
            <w:r>
              <w:rPr>
                <w:rFonts w:ascii="Helvetica" w:hAnsi="Helvetica" w:cs="Helvetica"/>
                <w:iCs/>
                <w:sz w:val="18"/>
              </w:rPr>
              <w:t>nei primi nove mesi</w:t>
            </w:r>
            <w:r w:rsidRPr="00A86FCF">
              <w:rPr>
                <w:rFonts w:ascii="Helvetica" w:hAnsi="Helvetica" w:cs="Helvetica"/>
                <w:iCs/>
                <w:sz w:val="18"/>
              </w:rPr>
              <w:t xml:space="preserve"> del 2019 è stato di circa 246.000 mq (considerando i principali operatori ed una quota frammentata tra operatori minori).</w:t>
            </w:r>
          </w:p>
        </w:tc>
      </w:tr>
      <w:tr w:rsidR="00FE570A" w:rsidRPr="000B597D" w:rsidTr="005B4C0A">
        <w:tc>
          <w:tcPr>
            <w:tcW w:w="4962" w:type="dxa"/>
            <w:shd w:val="clear" w:color="auto" w:fill="auto"/>
          </w:tcPr>
          <w:p w:rsidR="00FE570A" w:rsidRPr="00085C42" w:rsidRDefault="00FE570A" w:rsidP="00FE570A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color w:val="FF0000"/>
                <w:sz w:val="18"/>
              </w:rPr>
            </w:pP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>In termini di superficie locata, nei primi nove mesi del 2019,</w:t>
            </w:r>
            <w:r w:rsidRPr="00A86FCF">
              <w:rPr>
                <w:rFonts w:ascii="Helvetica" w:hAnsi="Helvetica" w:cs="Helvetica"/>
                <w:iCs/>
                <w:color w:val="FF0000"/>
                <w:sz w:val="18"/>
              </w:rPr>
              <w:t xml:space="preserve"> </w:t>
            </w: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>i mercati più attivi sono stati l’Hinterland,</w:t>
            </w:r>
            <w:r w:rsidRPr="00A86FCF">
              <w:rPr>
                <w:rFonts w:ascii="Helvetica" w:hAnsi="Helvetica" w:cs="Helvetica"/>
                <w:iCs/>
                <w:color w:val="FF0000"/>
                <w:sz w:val="18"/>
              </w:rPr>
              <w:t xml:space="preserve"> </w:t>
            </w: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>con il 29% della superficie totale, e la Periferia, con il 26%.</w:t>
            </w:r>
            <w:r w:rsidRPr="00A86FCF">
              <w:rPr>
                <w:rFonts w:ascii="Helvetica" w:hAnsi="Helvetica" w:cs="Helvetica"/>
                <w:iCs/>
                <w:color w:val="FF0000"/>
                <w:sz w:val="18"/>
              </w:rPr>
              <w:t xml:space="preserve"> </w:t>
            </w: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 xml:space="preserve">Segue il Semicentro (14%), la zona Porta Nuova Business </w:t>
            </w:r>
            <w:proofErr w:type="spellStart"/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>District</w:t>
            </w:r>
            <w:proofErr w:type="spellEnd"/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 xml:space="preserve"> (13%), il CBD (12%) e il Centro (6%).</w:t>
            </w:r>
          </w:p>
          <w:p w:rsidR="00FE570A" w:rsidRPr="00A86FCF" w:rsidRDefault="00FE570A" w:rsidP="005B4C0A">
            <w:pPr>
              <w:spacing w:line="240" w:lineRule="auto"/>
              <w:ind w:left="360"/>
              <w:contextualSpacing/>
              <w:jc w:val="both"/>
              <w:rPr>
                <w:rFonts w:ascii="Helvetica" w:hAnsi="Helvetica" w:cs="Helvetica"/>
                <w:iCs/>
                <w:color w:val="FF0000"/>
                <w:sz w:val="18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FE570A" w:rsidRPr="00085C42" w:rsidRDefault="00FE570A" w:rsidP="00FE570A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color w:val="FF0000"/>
                <w:sz w:val="18"/>
              </w:rPr>
            </w:pPr>
            <w:r w:rsidRPr="00A86FCF">
              <w:rPr>
                <w:rFonts w:ascii="Helvetica" w:hAnsi="Helvetica" w:cs="Helvetica"/>
                <w:iCs/>
                <w:sz w:val="18"/>
              </w:rPr>
              <w:t>Nei primi tre trimestri del 2019,</w:t>
            </w:r>
            <w:r w:rsidRPr="00A86FCF">
              <w:rPr>
                <w:rFonts w:ascii="Helvetica" w:hAnsi="Helvetica" w:cs="Helvetica"/>
                <w:iCs/>
                <w:color w:val="FF0000"/>
                <w:sz w:val="18"/>
              </w:rPr>
              <w:t xml:space="preserve"> </w:t>
            </w:r>
            <w:r w:rsidRPr="0092470D">
              <w:rPr>
                <w:rFonts w:ascii="Helvetica" w:hAnsi="Helvetica" w:cs="Helvetica"/>
                <w:iCs/>
                <w:sz w:val="18"/>
              </w:rPr>
              <w:t xml:space="preserve">la zona EUR e il Centro risultano essere le </w:t>
            </w:r>
            <w:proofErr w:type="spellStart"/>
            <w:r w:rsidRPr="0092470D">
              <w:rPr>
                <w:rFonts w:ascii="Helvetica" w:hAnsi="Helvetica" w:cs="Helvetica"/>
                <w:iCs/>
                <w:sz w:val="18"/>
              </w:rPr>
              <w:t>macrozone</w:t>
            </w:r>
            <w:proofErr w:type="spellEnd"/>
            <w:r w:rsidRPr="0092470D">
              <w:rPr>
                <w:rFonts w:ascii="Helvetica" w:hAnsi="Helvetica" w:cs="Helvetica"/>
                <w:iCs/>
                <w:sz w:val="18"/>
              </w:rPr>
              <w:t xml:space="preserve"> di preferenza, che registrano entrambi il 35% dell’assorbimento totale in termini di superficie. Seguono la Periferia</w:t>
            </w:r>
            <w:r>
              <w:rPr>
                <w:rFonts w:ascii="Helvetica" w:hAnsi="Helvetica" w:cs="Helvetica"/>
                <w:iCs/>
                <w:sz w:val="18"/>
              </w:rPr>
              <w:t>,</w:t>
            </w:r>
            <w:r w:rsidRPr="0092470D">
              <w:rPr>
                <w:rFonts w:ascii="Helvetica" w:hAnsi="Helvetica" w:cs="Helvetica"/>
                <w:iCs/>
                <w:sz w:val="18"/>
              </w:rPr>
              <w:t xml:space="preserve"> che include anche le zone Nuova Fiera di Roma, East Inner </w:t>
            </w:r>
            <w:proofErr w:type="spellStart"/>
            <w:r w:rsidRPr="0092470D">
              <w:rPr>
                <w:rFonts w:ascii="Helvetica" w:hAnsi="Helvetica" w:cs="Helvetica"/>
                <w:iCs/>
                <w:sz w:val="18"/>
              </w:rPr>
              <w:t>Gra</w:t>
            </w:r>
            <w:proofErr w:type="spellEnd"/>
            <w:r w:rsidRPr="0092470D">
              <w:rPr>
                <w:rFonts w:ascii="Helvetica" w:hAnsi="Helvetica" w:cs="Helvetica"/>
                <w:iCs/>
                <w:sz w:val="18"/>
              </w:rPr>
              <w:t xml:space="preserve"> e South-East Inner </w:t>
            </w:r>
            <w:proofErr w:type="spellStart"/>
            <w:r w:rsidRPr="0092470D">
              <w:rPr>
                <w:rFonts w:ascii="Helvetica" w:hAnsi="Helvetica" w:cs="Helvetica"/>
                <w:iCs/>
                <w:sz w:val="18"/>
              </w:rPr>
              <w:t>Gra</w:t>
            </w:r>
            <w:proofErr w:type="spellEnd"/>
            <w:r>
              <w:rPr>
                <w:rFonts w:ascii="Helvetica" w:hAnsi="Helvetica" w:cs="Helvetica"/>
                <w:iCs/>
                <w:sz w:val="18"/>
              </w:rPr>
              <w:t xml:space="preserve">, </w:t>
            </w:r>
            <w:r w:rsidRPr="0092470D">
              <w:rPr>
                <w:rFonts w:ascii="Helvetica" w:hAnsi="Helvetica" w:cs="Helvetica"/>
                <w:iCs/>
                <w:sz w:val="18"/>
              </w:rPr>
              <w:t>con il 12% del totale,</w:t>
            </w:r>
            <w:r w:rsidRPr="001C431C">
              <w:rPr>
                <w:rFonts w:ascii="Helvetica" w:hAnsi="Helvetica" w:cs="Helvetica"/>
                <w:iCs/>
                <w:sz w:val="18"/>
              </w:rPr>
              <w:t xml:space="preserve"> il Semicentro con il 10% ed infine il CBD con l’8%.</w:t>
            </w:r>
          </w:p>
          <w:p w:rsidR="00FE570A" w:rsidRPr="00A86FCF" w:rsidRDefault="00FE570A" w:rsidP="005B4C0A">
            <w:pPr>
              <w:spacing w:line="240" w:lineRule="auto"/>
              <w:ind w:left="360"/>
              <w:contextualSpacing/>
              <w:jc w:val="both"/>
              <w:rPr>
                <w:rFonts w:ascii="Helvetica" w:hAnsi="Helvetica" w:cs="Helvetica"/>
                <w:iCs/>
                <w:color w:val="FF0000"/>
                <w:sz w:val="18"/>
              </w:rPr>
            </w:pPr>
          </w:p>
          <w:p w:rsidR="00FE570A" w:rsidRDefault="00FE570A" w:rsidP="00FE570A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sz w:val="18"/>
              </w:rPr>
            </w:pPr>
            <w:r w:rsidRPr="001C431C">
              <w:rPr>
                <w:rFonts w:ascii="Helvetica" w:hAnsi="Helvetica" w:cs="Helvetica"/>
                <w:iCs/>
                <w:sz w:val="18"/>
              </w:rPr>
              <w:t xml:space="preserve">Il prime </w:t>
            </w:r>
            <w:proofErr w:type="spellStart"/>
            <w:r w:rsidRPr="001C431C">
              <w:rPr>
                <w:rFonts w:ascii="Helvetica" w:hAnsi="Helvetica" w:cs="Helvetica"/>
                <w:iCs/>
                <w:sz w:val="18"/>
              </w:rPr>
              <w:t>rent</w:t>
            </w:r>
            <w:proofErr w:type="spellEnd"/>
            <w:r w:rsidRPr="001C431C">
              <w:rPr>
                <w:rFonts w:ascii="Helvetica" w:hAnsi="Helvetica" w:cs="Helvetica"/>
                <w:iCs/>
                <w:sz w:val="18"/>
              </w:rPr>
              <w:t xml:space="preserve"> registrato nel CBD nel Q3 2019 è di 440 €/mq/anno, dato in aumento rispetto a quello rilevato nello stesso trimestre del 2018 (420 €/mq/anno).</w:t>
            </w:r>
          </w:p>
          <w:p w:rsidR="00FE570A" w:rsidRPr="001C431C" w:rsidRDefault="00FE570A" w:rsidP="005B4C0A">
            <w:p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sz w:val="18"/>
              </w:rPr>
            </w:pPr>
          </w:p>
          <w:p w:rsidR="00FE570A" w:rsidRPr="002030EC" w:rsidRDefault="00FE570A" w:rsidP="00FE570A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sz w:val="18"/>
              </w:rPr>
            </w:pPr>
            <w:r w:rsidRPr="001C431C">
              <w:rPr>
                <w:rFonts w:ascii="Helvetica" w:hAnsi="Helvetica" w:cs="Helvetica"/>
                <w:iCs/>
                <w:sz w:val="18"/>
              </w:rPr>
              <w:t xml:space="preserve">I valori dei rendimenti prime (lordi) rispetto al trimestre precedente sono rimasti stabili, con un Prime </w:t>
            </w:r>
            <w:proofErr w:type="spellStart"/>
            <w:r w:rsidRPr="001C431C">
              <w:rPr>
                <w:rFonts w:ascii="Helvetica" w:hAnsi="Helvetica" w:cs="Helvetica"/>
                <w:iCs/>
                <w:sz w:val="18"/>
              </w:rPr>
              <w:t>Yield</w:t>
            </w:r>
            <w:proofErr w:type="spellEnd"/>
            <w:r w:rsidRPr="001C431C">
              <w:rPr>
                <w:rFonts w:ascii="Helvetica" w:hAnsi="Helvetica" w:cs="Helvetica"/>
                <w:iCs/>
                <w:sz w:val="18"/>
              </w:rPr>
              <w:t xml:space="preserve"> nella zona centrale di Roma, pari al 5,00% circa</w:t>
            </w:r>
            <w:r w:rsidRPr="00A86FCF">
              <w:rPr>
                <w:rFonts w:ascii="Helvetica" w:hAnsi="Helvetica" w:cs="Helvetica"/>
                <w:iCs/>
                <w:color w:val="FF0000"/>
                <w:sz w:val="18"/>
              </w:rPr>
              <w:t>.</w:t>
            </w:r>
          </w:p>
        </w:tc>
      </w:tr>
      <w:tr w:rsidR="00FE570A" w:rsidRPr="000B597D" w:rsidTr="005B4C0A">
        <w:tc>
          <w:tcPr>
            <w:tcW w:w="4962" w:type="dxa"/>
            <w:shd w:val="clear" w:color="auto" w:fill="auto"/>
          </w:tcPr>
          <w:p w:rsidR="00FE570A" w:rsidRPr="00085C42" w:rsidRDefault="00FE570A" w:rsidP="00FE570A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color w:val="FF0000"/>
                <w:sz w:val="18"/>
              </w:rPr>
            </w:pP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>Lo sfitto complessivo stimato nell’area milanese è di circa 1,47 Milioni di mq,</w:t>
            </w:r>
            <w:r w:rsidRPr="00A86FCF">
              <w:rPr>
                <w:rFonts w:ascii="Helvetica" w:hAnsi="Helvetica" w:cs="Helvetica"/>
                <w:iCs/>
                <w:color w:val="FF0000"/>
                <w:sz w:val="18"/>
              </w:rPr>
              <w:t xml:space="preserve"> </w:t>
            </w: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>con una prevalenza, in termini di superficie, nella zona periferica della città (40%). Segue l’Hinterland con il 28%.</w:t>
            </w:r>
          </w:p>
          <w:p w:rsidR="00FE570A" w:rsidRPr="00A86FCF" w:rsidRDefault="00FE570A" w:rsidP="005B4C0A">
            <w:pPr>
              <w:spacing w:line="240" w:lineRule="auto"/>
              <w:ind w:left="360"/>
              <w:contextualSpacing/>
              <w:jc w:val="both"/>
              <w:rPr>
                <w:rFonts w:ascii="Helvetica" w:hAnsi="Helvetica" w:cs="Helvetica"/>
                <w:iCs/>
                <w:color w:val="FF0000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FE570A" w:rsidRPr="000B597D" w:rsidRDefault="00FE570A" w:rsidP="00FE570A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color w:val="FF0000"/>
                <w:sz w:val="20"/>
                <w:highlight w:val="yellow"/>
              </w:rPr>
            </w:pPr>
          </w:p>
        </w:tc>
      </w:tr>
      <w:tr w:rsidR="00FE570A" w:rsidRPr="000B597D" w:rsidTr="005B4C0A">
        <w:tc>
          <w:tcPr>
            <w:tcW w:w="4962" w:type="dxa"/>
            <w:shd w:val="clear" w:color="auto" w:fill="auto"/>
          </w:tcPr>
          <w:p w:rsidR="00FE570A" w:rsidRDefault="00FE570A" w:rsidP="00FE570A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color w:val="000000"/>
                <w:sz w:val="18"/>
              </w:rPr>
            </w:pP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 xml:space="preserve">Il prime </w:t>
            </w:r>
            <w:proofErr w:type="spellStart"/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>rent</w:t>
            </w:r>
            <w:proofErr w:type="spellEnd"/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 xml:space="preserve"> registrato nel CBD nei primi nove mesi del 2019 è di 580 €/mq/anno, dato in aumento rispetto a quello rilevato nello stesso trimestre del 2018, pari a 570 €/mq/anno.</w:t>
            </w:r>
          </w:p>
          <w:p w:rsidR="00FE570A" w:rsidRPr="002D00CF" w:rsidRDefault="00FE570A" w:rsidP="005B4C0A">
            <w:pPr>
              <w:spacing w:line="240" w:lineRule="auto"/>
              <w:ind w:left="360"/>
              <w:contextualSpacing/>
              <w:jc w:val="both"/>
              <w:rPr>
                <w:rFonts w:ascii="Helvetica" w:hAnsi="Helvetica" w:cs="Helvetica"/>
                <w:iCs/>
                <w:color w:val="000000"/>
                <w:sz w:val="18"/>
              </w:rPr>
            </w:pPr>
          </w:p>
          <w:p w:rsidR="00FE570A" w:rsidRPr="002D00CF" w:rsidRDefault="00FE570A" w:rsidP="00FE570A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color w:val="000000"/>
                <w:sz w:val="18"/>
              </w:rPr>
            </w:pP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 xml:space="preserve">Rispetto al trimestre precedente i rendimenti (lordi) sono rimasti stabili, con un Prime </w:t>
            </w:r>
            <w:proofErr w:type="spellStart"/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>Yield</w:t>
            </w:r>
            <w:proofErr w:type="spellEnd"/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 xml:space="preserve"> nella zona centrale di Milano intorno al 4,50%.</w:t>
            </w:r>
          </w:p>
        </w:tc>
        <w:tc>
          <w:tcPr>
            <w:tcW w:w="4961" w:type="dxa"/>
            <w:vMerge/>
            <w:shd w:val="clear" w:color="auto" w:fill="auto"/>
          </w:tcPr>
          <w:p w:rsidR="00FE570A" w:rsidRPr="000B597D" w:rsidRDefault="00FE570A" w:rsidP="00FE570A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color w:val="FF0000"/>
                <w:sz w:val="20"/>
                <w:highlight w:val="yellow"/>
              </w:rPr>
            </w:pPr>
          </w:p>
        </w:tc>
      </w:tr>
    </w:tbl>
    <w:p w:rsidR="00FE570A" w:rsidRDefault="00FE570A" w:rsidP="00FE570A"/>
    <w:p w:rsidR="000F291E" w:rsidRPr="00FE570A" w:rsidRDefault="000F291E" w:rsidP="00FE570A">
      <w:bookmarkStart w:id="0" w:name="_GoBack"/>
      <w:bookmarkEnd w:id="0"/>
    </w:p>
    <w:sectPr w:rsidR="000F291E" w:rsidRPr="00FE570A" w:rsidSect="00BC596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418" w:left="1134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8A" w:rsidRDefault="005C3D8A" w:rsidP="000E2259">
      <w:pPr>
        <w:spacing w:after="0" w:line="240" w:lineRule="auto"/>
      </w:pPr>
      <w:r>
        <w:separator/>
      </w:r>
    </w:p>
  </w:endnote>
  <w:endnote w:type="continuationSeparator" w:id="0">
    <w:p w:rsidR="005C3D8A" w:rsidRDefault="005C3D8A" w:rsidP="000E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26" w:rsidRDefault="00BA608F">
    <w:pPr>
      <w:pStyle w:val="Pidipagina"/>
    </w:pPr>
    <w:r>
      <w:rPr>
        <w:noProof/>
        <w:lang w:eastAsia="it-IT"/>
      </w:rPr>
      <w:drawing>
        <wp:inline distT="0" distB="0" distL="0" distR="0">
          <wp:extent cx="443865" cy="82423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A5C" w:rsidRDefault="00BA608F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-553085</wp:posOffset>
          </wp:positionV>
          <wp:extent cx="6121400" cy="533400"/>
          <wp:effectExtent l="0" t="0" r="0" b="0"/>
          <wp:wrapNone/>
          <wp:docPr id="4" name="Immagine 1" descr="Mac1:Users:colnaghifigini1:Desktop:CartaIntestataGP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1:Users:colnaghifigini1:Desktop:CartaIntestataGPS2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8A" w:rsidRDefault="005C3D8A" w:rsidP="000E2259">
      <w:pPr>
        <w:spacing w:after="0" w:line="240" w:lineRule="auto"/>
      </w:pPr>
      <w:r>
        <w:separator/>
      </w:r>
    </w:p>
  </w:footnote>
  <w:footnote w:type="continuationSeparator" w:id="0">
    <w:p w:rsidR="005C3D8A" w:rsidRDefault="005C3D8A" w:rsidP="000E2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259" w:rsidRDefault="00BA608F">
    <w:pPr>
      <w:pStyle w:val="Intestazione"/>
    </w:pPr>
    <w:r>
      <w:rPr>
        <w:noProof/>
        <w:lang w:eastAsia="it-IT"/>
      </w:rPr>
      <w:drawing>
        <wp:inline distT="0" distB="0" distL="0" distR="0">
          <wp:extent cx="1955800" cy="803275"/>
          <wp:effectExtent l="0" t="0" r="6350" b="0"/>
          <wp:docPr id="1" name="Immagine 1" descr="Gabetti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betti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A5C" w:rsidRDefault="00BA608F">
    <w:pPr>
      <w:pStyle w:val="Intestazione"/>
    </w:pPr>
    <w:r>
      <w:rPr>
        <w:noProof/>
        <w:lang w:eastAsia="it-IT"/>
      </w:rPr>
      <w:drawing>
        <wp:inline distT="0" distB="0" distL="0" distR="0">
          <wp:extent cx="2145665" cy="877570"/>
          <wp:effectExtent l="0" t="0" r="6985" b="0"/>
          <wp:docPr id="3" name="Immagine 3" descr="Gabetti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abetti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9E1"/>
      </v:shape>
    </w:pict>
  </w:numPicBullet>
  <w:abstractNum w:abstractNumId="0">
    <w:nsid w:val="0F71269A"/>
    <w:multiLevelType w:val="hybridMultilevel"/>
    <w:tmpl w:val="90266EBA"/>
    <w:lvl w:ilvl="0" w:tplc="2EA840C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822CDD"/>
    <w:multiLevelType w:val="hybridMultilevel"/>
    <w:tmpl w:val="8A92AE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D6D7C"/>
    <w:multiLevelType w:val="hybridMultilevel"/>
    <w:tmpl w:val="13FACC68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59"/>
    <w:rsid w:val="000012AB"/>
    <w:rsid w:val="00002E6D"/>
    <w:rsid w:val="000039C9"/>
    <w:rsid w:val="00005A70"/>
    <w:rsid w:val="00014A49"/>
    <w:rsid w:val="00020ADD"/>
    <w:rsid w:val="00031087"/>
    <w:rsid w:val="00032146"/>
    <w:rsid w:val="00034337"/>
    <w:rsid w:val="000373DF"/>
    <w:rsid w:val="0003754F"/>
    <w:rsid w:val="00040FBC"/>
    <w:rsid w:val="00045F6C"/>
    <w:rsid w:val="00054212"/>
    <w:rsid w:val="00057AF7"/>
    <w:rsid w:val="00062DA4"/>
    <w:rsid w:val="00064890"/>
    <w:rsid w:val="0007088C"/>
    <w:rsid w:val="000779B3"/>
    <w:rsid w:val="00082062"/>
    <w:rsid w:val="000A1FD0"/>
    <w:rsid w:val="000A3862"/>
    <w:rsid w:val="000A51FA"/>
    <w:rsid w:val="000B395C"/>
    <w:rsid w:val="000B5C2C"/>
    <w:rsid w:val="000B6067"/>
    <w:rsid w:val="000C3725"/>
    <w:rsid w:val="000C427C"/>
    <w:rsid w:val="000C5A8F"/>
    <w:rsid w:val="000C63DF"/>
    <w:rsid w:val="000D32EE"/>
    <w:rsid w:val="000E2259"/>
    <w:rsid w:val="000E25E7"/>
    <w:rsid w:val="000E61CD"/>
    <w:rsid w:val="000E62E8"/>
    <w:rsid w:val="000F0753"/>
    <w:rsid w:val="000F291E"/>
    <w:rsid w:val="000F67FD"/>
    <w:rsid w:val="00102D88"/>
    <w:rsid w:val="0011195C"/>
    <w:rsid w:val="00127207"/>
    <w:rsid w:val="0014061F"/>
    <w:rsid w:val="00142D37"/>
    <w:rsid w:val="001432E4"/>
    <w:rsid w:val="00145104"/>
    <w:rsid w:val="00145C6F"/>
    <w:rsid w:val="00154E0F"/>
    <w:rsid w:val="001645F1"/>
    <w:rsid w:val="0016773A"/>
    <w:rsid w:val="001709E0"/>
    <w:rsid w:val="001802C5"/>
    <w:rsid w:val="00182063"/>
    <w:rsid w:val="001905CA"/>
    <w:rsid w:val="001A0401"/>
    <w:rsid w:val="001B2A5C"/>
    <w:rsid w:val="001C1C5E"/>
    <w:rsid w:val="001C44AD"/>
    <w:rsid w:val="001D61A2"/>
    <w:rsid w:val="001E35B1"/>
    <w:rsid w:val="001F73CF"/>
    <w:rsid w:val="00200580"/>
    <w:rsid w:val="00206C41"/>
    <w:rsid w:val="002109D3"/>
    <w:rsid w:val="00222BAD"/>
    <w:rsid w:val="0022557D"/>
    <w:rsid w:val="00226745"/>
    <w:rsid w:val="0022753F"/>
    <w:rsid w:val="00237F7C"/>
    <w:rsid w:val="0024052E"/>
    <w:rsid w:val="002424BB"/>
    <w:rsid w:val="00244216"/>
    <w:rsid w:val="0025593E"/>
    <w:rsid w:val="0025603B"/>
    <w:rsid w:val="00256642"/>
    <w:rsid w:val="002568A3"/>
    <w:rsid w:val="0026025D"/>
    <w:rsid w:val="00260ADB"/>
    <w:rsid w:val="0026318C"/>
    <w:rsid w:val="0026409A"/>
    <w:rsid w:val="00273C9E"/>
    <w:rsid w:val="002805B5"/>
    <w:rsid w:val="0029465F"/>
    <w:rsid w:val="00294F8D"/>
    <w:rsid w:val="002A129B"/>
    <w:rsid w:val="002A6B70"/>
    <w:rsid w:val="002B0A85"/>
    <w:rsid w:val="002B433C"/>
    <w:rsid w:val="002B692D"/>
    <w:rsid w:val="002C1F3D"/>
    <w:rsid w:val="002C2EF2"/>
    <w:rsid w:val="002C4174"/>
    <w:rsid w:val="002C7080"/>
    <w:rsid w:val="002D2A32"/>
    <w:rsid w:val="002D3EB8"/>
    <w:rsid w:val="002E2FEA"/>
    <w:rsid w:val="002E5993"/>
    <w:rsid w:val="002F3AEB"/>
    <w:rsid w:val="002F4C80"/>
    <w:rsid w:val="0030174E"/>
    <w:rsid w:val="00306AFC"/>
    <w:rsid w:val="00310AA3"/>
    <w:rsid w:val="00311DD0"/>
    <w:rsid w:val="00313830"/>
    <w:rsid w:val="00331152"/>
    <w:rsid w:val="00331BB1"/>
    <w:rsid w:val="00332BFA"/>
    <w:rsid w:val="00333ACF"/>
    <w:rsid w:val="00345D7B"/>
    <w:rsid w:val="003524E0"/>
    <w:rsid w:val="003534CE"/>
    <w:rsid w:val="00354289"/>
    <w:rsid w:val="00354EF9"/>
    <w:rsid w:val="00370F53"/>
    <w:rsid w:val="00372A73"/>
    <w:rsid w:val="0037725E"/>
    <w:rsid w:val="00381E55"/>
    <w:rsid w:val="003904A1"/>
    <w:rsid w:val="003A3E3E"/>
    <w:rsid w:val="003A5F9F"/>
    <w:rsid w:val="003B269F"/>
    <w:rsid w:val="003B4983"/>
    <w:rsid w:val="003B7701"/>
    <w:rsid w:val="003C05E8"/>
    <w:rsid w:val="003D5872"/>
    <w:rsid w:val="003D65D7"/>
    <w:rsid w:val="003E414F"/>
    <w:rsid w:val="003E57F1"/>
    <w:rsid w:val="003E593E"/>
    <w:rsid w:val="003E6DAD"/>
    <w:rsid w:val="003F0571"/>
    <w:rsid w:val="003F3C35"/>
    <w:rsid w:val="003F746A"/>
    <w:rsid w:val="0040165B"/>
    <w:rsid w:val="0040193D"/>
    <w:rsid w:val="00406FEA"/>
    <w:rsid w:val="00411931"/>
    <w:rsid w:val="0041732E"/>
    <w:rsid w:val="00423C58"/>
    <w:rsid w:val="004249C7"/>
    <w:rsid w:val="00432ECD"/>
    <w:rsid w:val="004346F8"/>
    <w:rsid w:val="00445D62"/>
    <w:rsid w:val="00447CC6"/>
    <w:rsid w:val="0046008A"/>
    <w:rsid w:val="004628DD"/>
    <w:rsid w:val="004671F7"/>
    <w:rsid w:val="00467BF6"/>
    <w:rsid w:val="0047145D"/>
    <w:rsid w:val="0047370A"/>
    <w:rsid w:val="00474169"/>
    <w:rsid w:val="004764D0"/>
    <w:rsid w:val="00477133"/>
    <w:rsid w:val="004847A2"/>
    <w:rsid w:val="00485D58"/>
    <w:rsid w:val="00487940"/>
    <w:rsid w:val="00497473"/>
    <w:rsid w:val="004A067A"/>
    <w:rsid w:val="004A2229"/>
    <w:rsid w:val="004A6057"/>
    <w:rsid w:val="004B0381"/>
    <w:rsid w:val="004B435D"/>
    <w:rsid w:val="004B4DA6"/>
    <w:rsid w:val="004B612B"/>
    <w:rsid w:val="004C2EB6"/>
    <w:rsid w:val="004C34D3"/>
    <w:rsid w:val="004D256D"/>
    <w:rsid w:val="004E0B55"/>
    <w:rsid w:val="004E1AE6"/>
    <w:rsid w:val="004E374C"/>
    <w:rsid w:val="004F3B7F"/>
    <w:rsid w:val="004F7096"/>
    <w:rsid w:val="004F71D7"/>
    <w:rsid w:val="00503D9A"/>
    <w:rsid w:val="00511FF5"/>
    <w:rsid w:val="00513DD6"/>
    <w:rsid w:val="0053024B"/>
    <w:rsid w:val="00530EEA"/>
    <w:rsid w:val="00535B6B"/>
    <w:rsid w:val="0053601F"/>
    <w:rsid w:val="005477F5"/>
    <w:rsid w:val="00551483"/>
    <w:rsid w:val="005526BB"/>
    <w:rsid w:val="00553162"/>
    <w:rsid w:val="00553493"/>
    <w:rsid w:val="0056564F"/>
    <w:rsid w:val="00565BD2"/>
    <w:rsid w:val="0058443B"/>
    <w:rsid w:val="00587780"/>
    <w:rsid w:val="005A2DA3"/>
    <w:rsid w:val="005A36F2"/>
    <w:rsid w:val="005C3D8A"/>
    <w:rsid w:val="005C7B6A"/>
    <w:rsid w:val="005D43FB"/>
    <w:rsid w:val="005D4A98"/>
    <w:rsid w:val="005D4F14"/>
    <w:rsid w:val="005E4662"/>
    <w:rsid w:val="005E7B3A"/>
    <w:rsid w:val="005F0A19"/>
    <w:rsid w:val="005F1FA8"/>
    <w:rsid w:val="005F389E"/>
    <w:rsid w:val="005F446C"/>
    <w:rsid w:val="006008D1"/>
    <w:rsid w:val="00602183"/>
    <w:rsid w:val="006043E4"/>
    <w:rsid w:val="006061EC"/>
    <w:rsid w:val="0060626F"/>
    <w:rsid w:val="006077F2"/>
    <w:rsid w:val="00611D06"/>
    <w:rsid w:val="00612A1F"/>
    <w:rsid w:val="00612CF1"/>
    <w:rsid w:val="0061589A"/>
    <w:rsid w:val="00623E8E"/>
    <w:rsid w:val="00623F1B"/>
    <w:rsid w:val="006274C8"/>
    <w:rsid w:val="006309B0"/>
    <w:rsid w:val="00631026"/>
    <w:rsid w:val="00637A55"/>
    <w:rsid w:val="00643DF8"/>
    <w:rsid w:val="006443D3"/>
    <w:rsid w:val="00647E47"/>
    <w:rsid w:val="006507B6"/>
    <w:rsid w:val="00653AFE"/>
    <w:rsid w:val="00653FDF"/>
    <w:rsid w:val="00660AE3"/>
    <w:rsid w:val="006613F3"/>
    <w:rsid w:val="006632F9"/>
    <w:rsid w:val="00664F36"/>
    <w:rsid w:val="006729BD"/>
    <w:rsid w:val="00672FE5"/>
    <w:rsid w:val="00676737"/>
    <w:rsid w:val="006805A2"/>
    <w:rsid w:val="006815A3"/>
    <w:rsid w:val="0069009C"/>
    <w:rsid w:val="00694049"/>
    <w:rsid w:val="006A0E91"/>
    <w:rsid w:val="006A24B2"/>
    <w:rsid w:val="006B0C47"/>
    <w:rsid w:val="006B1239"/>
    <w:rsid w:val="006C526A"/>
    <w:rsid w:val="006C5CC6"/>
    <w:rsid w:val="006D76DC"/>
    <w:rsid w:val="006E0512"/>
    <w:rsid w:val="006E1234"/>
    <w:rsid w:val="006E1FFC"/>
    <w:rsid w:val="006E5C52"/>
    <w:rsid w:val="006E7993"/>
    <w:rsid w:val="006F2C84"/>
    <w:rsid w:val="006F5715"/>
    <w:rsid w:val="006F5B70"/>
    <w:rsid w:val="006F6DFF"/>
    <w:rsid w:val="006F72F1"/>
    <w:rsid w:val="0070234E"/>
    <w:rsid w:val="00702DD1"/>
    <w:rsid w:val="00707989"/>
    <w:rsid w:val="00707EEE"/>
    <w:rsid w:val="00712DB8"/>
    <w:rsid w:val="00717C67"/>
    <w:rsid w:val="007214ED"/>
    <w:rsid w:val="00721899"/>
    <w:rsid w:val="00726D77"/>
    <w:rsid w:val="00731F57"/>
    <w:rsid w:val="007325CB"/>
    <w:rsid w:val="00743F52"/>
    <w:rsid w:val="00747E52"/>
    <w:rsid w:val="007536A4"/>
    <w:rsid w:val="00753DA7"/>
    <w:rsid w:val="007540C6"/>
    <w:rsid w:val="00772083"/>
    <w:rsid w:val="007729A6"/>
    <w:rsid w:val="00773B35"/>
    <w:rsid w:val="0077529C"/>
    <w:rsid w:val="00790EB9"/>
    <w:rsid w:val="00791283"/>
    <w:rsid w:val="007A3480"/>
    <w:rsid w:val="007A618A"/>
    <w:rsid w:val="007B34C0"/>
    <w:rsid w:val="007B3EDF"/>
    <w:rsid w:val="007C429D"/>
    <w:rsid w:val="007D20EC"/>
    <w:rsid w:val="007D4BE9"/>
    <w:rsid w:val="007E6085"/>
    <w:rsid w:val="007F34CD"/>
    <w:rsid w:val="007F454C"/>
    <w:rsid w:val="0080227D"/>
    <w:rsid w:val="00811B3E"/>
    <w:rsid w:val="0082160F"/>
    <w:rsid w:val="0082375B"/>
    <w:rsid w:val="00826C99"/>
    <w:rsid w:val="00827C6A"/>
    <w:rsid w:val="008366EB"/>
    <w:rsid w:val="00844569"/>
    <w:rsid w:val="008512A6"/>
    <w:rsid w:val="00856369"/>
    <w:rsid w:val="008642F1"/>
    <w:rsid w:val="00866AA2"/>
    <w:rsid w:val="00866BFA"/>
    <w:rsid w:val="00870745"/>
    <w:rsid w:val="00875326"/>
    <w:rsid w:val="00883153"/>
    <w:rsid w:val="0088753A"/>
    <w:rsid w:val="00890D48"/>
    <w:rsid w:val="008919D0"/>
    <w:rsid w:val="008927A9"/>
    <w:rsid w:val="008A6743"/>
    <w:rsid w:val="008B08E3"/>
    <w:rsid w:val="008B0A2F"/>
    <w:rsid w:val="008B15F5"/>
    <w:rsid w:val="008B6B1D"/>
    <w:rsid w:val="008C29DF"/>
    <w:rsid w:val="008D2814"/>
    <w:rsid w:val="008D4778"/>
    <w:rsid w:val="008D7BD5"/>
    <w:rsid w:val="008E0E50"/>
    <w:rsid w:val="008E631B"/>
    <w:rsid w:val="008E6F82"/>
    <w:rsid w:val="008F2B28"/>
    <w:rsid w:val="00904253"/>
    <w:rsid w:val="00912107"/>
    <w:rsid w:val="00914DD6"/>
    <w:rsid w:val="00916E69"/>
    <w:rsid w:val="00920F33"/>
    <w:rsid w:val="00925D36"/>
    <w:rsid w:val="00931DE4"/>
    <w:rsid w:val="009364F1"/>
    <w:rsid w:val="0094510C"/>
    <w:rsid w:val="009478F8"/>
    <w:rsid w:val="00951210"/>
    <w:rsid w:val="009611B9"/>
    <w:rsid w:val="0096568A"/>
    <w:rsid w:val="00967E3B"/>
    <w:rsid w:val="00971F44"/>
    <w:rsid w:val="00973876"/>
    <w:rsid w:val="009908CB"/>
    <w:rsid w:val="00991090"/>
    <w:rsid w:val="00992503"/>
    <w:rsid w:val="009934CF"/>
    <w:rsid w:val="009950F4"/>
    <w:rsid w:val="00996BD9"/>
    <w:rsid w:val="00997AEF"/>
    <w:rsid w:val="009A2599"/>
    <w:rsid w:val="009A2BAF"/>
    <w:rsid w:val="009A3607"/>
    <w:rsid w:val="009A378F"/>
    <w:rsid w:val="009A3C59"/>
    <w:rsid w:val="009A5F51"/>
    <w:rsid w:val="009B4338"/>
    <w:rsid w:val="009B739F"/>
    <w:rsid w:val="009C1DF1"/>
    <w:rsid w:val="009C387C"/>
    <w:rsid w:val="009C6AF5"/>
    <w:rsid w:val="009D3F8E"/>
    <w:rsid w:val="009D5780"/>
    <w:rsid w:val="009D6441"/>
    <w:rsid w:val="009D677F"/>
    <w:rsid w:val="009E1E47"/>
    <w:rsid w:val="009F0161"/>
    <w:rsid w:val="009F688F"/>
    <w:rsid w:val="00A001A3"/>
    <w:rsid w:val="00A020D1"/>
    <w:rsid w:val="00A03A3C"/>
    <w:rsid w:val="00A0554A"/>
    <w:rsid w:val="00A21540"/>
    <w:rsid w:val="00A239E2"/>
    <w:rsid w:val="00A2624E"/>
    <w:rsid w:val="00A328FC"/>
    <w:rsid w:val="00A36602"/>
    <w:rsid w:val="00A4163F"/>
    <w:rsid w:val="00A461F2"/>
    <w:rsid w:val="00A5791E"/>
    <w:rsid w:val="00A6143B"/>
    <w:rsid w:val="00A639AB"/>
    <w:rsid w:val="00A71DAB"/>
    <w:rsid w:val="00A723F0"/>
    <w:rsid w:val="00A72CE6"/>
    <w:rsid w:val="00A738D2"/>
    <w:rsid w:val="00A73C42"/>
    <w:rsid w:val="00A747C7"/>
    <w:rsid w:val="00A8275D"/>
    <w:rsid w:val="00A83D52"/>
    <w:rsid w:val="00A849DD"/>
    <w:rsid w:val="00A900F6"/>
    <w:rsid w:val="00A9674B"/>
    <w:rsid w:val="00AA1B89"/>
    <w:rsid w:val="00AB050C"/>
    <w:rsid w:val="00AB0F39"/>
    <w:rsid w:val="00AB36A0"/>
    <w:rsid w:val="00AB4982"/>
    <w:rsid w:val="00AB6D1F"/>
    <w:rsid w:val="00AE0F2D"/>
    <w:rsid w:val="00AF08E4"/>
    <w:rsid w:val="00AF7936"/>
    <w:rsid w:val="00B00CE6"/>
    <w:rsid w:val="00B01A39"/>
    <w:rsid w:val="00B02A00"/>
    <w:rsid w:val="00B049FD"/>
    <w:rsid w:val="00B0522E"/>
    <w:rsid w:val="00B159E5"/>
    <w:rsid w:val="00B17F2A"/>
    <w:rsid w:val="00B22844"/>
    <w:rsid w:val="00B31D76"/>
    <w:rsid w:val="00B34945"/>
    <w:rsid w:val="00B422F6"/>
    <w:rsid w:val="00B42339"/>
    <w:rsid w:val="00B44666"/>
    <w:rsid w:val="00B47160"/>
    <w:rsid w:val="00B50A56"/>
    <w:rsid w:val="00B56F34"/>
    <w:rsid w:val="00B60E3E"/>
    <w:rsid w:val="00B6677B"/>
    <w:rsid w:val="00B72CF3"/>
    <w:rsid w:val="00B74DBD"/>
    <w:rsid w:val="00B76B5D"/>
    <w:rsid w:val="00B77F56"/>
    <w:rsid w:val="00B811F8"/>
    <w:rsid w:val="00B8350D"/>
    <w:rsid w:val="00B845AC"/>
    <w:rsid w:val="00B84AC7"/>
    <w:rsid w:val="00B85D71"/>
    <w:rsid w:val="00B87F56"/>
    <w:rsid w:val="00B9091D"/>
    <w:rsid w:val="00B93343"/>
    <w:rsid w:val="00B958C8"/>
    <w:rsid w:val="00BA20E0"/>
    <w:rsid w:val="00BA2910"/>
    <w:rsid w:val="00BA608F"/>
    <w:rsid w:val="00BC362C"/>
    <w:rsid w:val="00BC5964"/>
    <w:rsid w:val="00BC7B3D"/>
    <w:rsid w:val="00BD3143"/>
    <w:rsid w:val="00BD51C3"/>
    <w:rsid w:val="00BD5FCF"/>
    <w:rsid w:val="00BE0906"/>
    <w:rsid w:val="00BE6EEA"/>
    <w:rsid w:val="00BF042C"/>
    <w:rsid w:val="00BF0C36"/>
    <w:rsid w:val="00BF25A8"/>
    <w:rsid w:val="00BF29BE"/>
    <w:rsid w:val="00C02235"/>
    <w:rsid w:val="00C04BC8"/>
    <w:rsid w:val="00C13496"/>
    <w:rsid w:val="00C176E6"/>
    <w:rsid w:val="00C214AF"/>
    <w:rsid w:val="00C233C1"/>
    <w:rsid w:val="00C242E6"/>
    <w:rsid w:val="00C24B97"/>
    <w:rsid w:val="00C27C62"/>
    <w:rsid w:val="00C329D6"/>
    <w:rsid w:val="00C347A2"/>
    <w:rsid w:val="00C36859"/>
    <w:rsid w:val="00C422F8"/>
    <w:rsid w:val="00C429BC"/>
    <w:rsid w:val="00C45DEE"/>
    <w:rsid w:val="00C46AC5"/>
    <w:rsid w:val="00C51824"/>
    <w:rsid w:val="00C57883"/>
    <w:rsid w:val="00C706BC"/>
    <w:rsid w:val="00C74C6C"/>
    <w:rsid w:val="00C855C0"/>
    <w:rsid w:val="00C90F73"/>
    <w:rsid w:val="00C92B68"/>
    <w:rsid w:val="00CA24A6"/>
    <w:rsid w:val="00CA2CD0"/>
    <w:rsid w:val="00CA4ABC"/>
    <w:rsid w:val="00CA63BE"/>
    <w:rsid w:val="00CB57DF"/>
    <w:rsid w:val="00CD26A9"/>
    <w:rsid w:val="00CD34C0"/>
    <w:rsid w:val="00CD4EED"/>
    <w:rsid w:val="00CD688C"/>
    <w:rsid w:val="00CE68E3"/>
    <w:rsid w:val="00CE7753"/>
    <w:rsid w:val="00CF568F"/>
    <w:rsid w:val="00D02390"/>
    <w:rsid w:val="00D03251"/>
    <w:rsid w:val="00D05875"/>
    <w:rsid w:val="00D25BC5"/>
    <w:rsid w:val="00D26EA6"/>
    <w:rsid w:val="00D27F11"/>
    <w:rsid w:val="00D31CEF"/>
    <w:rsid w:val="00D32CC3"/>
    <w:rsid w:val="00D40F42"/>
    <w:rsid w:val="00D416BC"/>
    <w:rsid w:val="00D46149"/>
    <w:rsid w:val="00D4672C"/>
    <w:rsid w:val="00D518C8"/>
    <w:rsid w:val="00D5365E"/>
    <w:rsid w:val="00D55B44"/>
    <w:rsid w:val="00D60999"/>
    <w:rsid w:val="00D61E47"/>
    <w:rsid w:val="00D62092"/>
    <w:rsid w:val="00D70278"/>
    <w:rsid w:val="00D80D95"/>
    <w:rsid w:val="00D81633"/>
    <w:rsid w:val="00D8426E"/>
    <w:rsid w:val="00D86A3A"/>
    <w:rsid w:val="00D94BD1"/>
    <w:rsid w:val="00DA5CE4"/>
    <w:rsid w:val="00DA71D7"/>
    <w:rsid w:val="00DB0850"/>
    <w:rsid w:val="00DB1420"/>
    <w:rsid w:val="00DB19EC"/>
    <w:rsid w:val="00DC2E71"/>
    <w:rsid w:val="00DC3410"/>
    <w:rsid w:val="00DD380A"/>
    <w:rsid w:val="00DD4B5B"/>
    <w:rsid w:val="00DE099D"/>
    <w:rsid w:val="00DE1862"/>
    <w:rsid w:val="00DE18A7"/>
    <w:rsid w:val="00DF16E7"/>
    <w:rsid w:val="00E01042"/>
    <w:rsid w:val="00E01E2C"/>
    <w:rsid w:val="00E02A25"/>
    <w:rsid w:val="00E0354E"/>
    <w:rsid w:val="00E03E12"/>
    <w:rsid w:val="00E04481"/>
    <w:rsid w:val="00E15120"/>
    <w:rsid w:val="00E22AC7"/>
    <w:rsid w:val="00E26095"/>
    <w:rsid w:val="00E27C44"/>
    <w:rsid w:val="00E32129"/>
    <w:rsid w:val="00E361F1"/>
    <w:rsid w:val="00E37063"/>
    <w:rsid w:val="00E41E04"/>
    <w:rsid w:val="00E447E0"/>
    <w:rsid w:val="00E5780B"/>
    <w:rsid w:val="00E62836"/>
    <w:rsid w:val="00E62C0A"/>
    <w:rsid w:val="00E63A64"/>
    <w:rsid w:val="00E63E7E"/>
    <w:rsid w:val="00E6799F"/>
    <w:rsid w:val="00E708C5"/>
    <w:rsid w:val="00E72C85"/>
    <w:rsid w:val="00E94564"/>
    <w:rsid w:val="00EA0B7B"/>
    <w:rsid w:val="00EB1E94"/>
    <w:rsid w:val="00EB26D4"/>
    <w:rsid w:val="00EB3CDC"/>
    <w:rsid w:val="00EB4731"/>
    <w:rsid w:val="00EB6AE4"/>
    <w:rsid w:val="00EC07C8"/>
    <w:rsid w:val="00EC676F"/>
    <w:rsid w:val="00EC797E"/>
    <w:rsid w:val="00EC79EC"/>
    <w:rsid w:val="00ED350F"/>
    <w:rsid w:val="00EE0DF3"/>
    <w:rsid w:val="00EE1995"/>
    <w:rsid w:val="00EE4956"/>
    <w:rsid w:val="00EE6F7E"/>
    <w:rsid w:val="00EF212B"/>
    <w:rsid w:val="00EF48FB"/>
    <w:rsid w:val="00EF6C38"/>
    <w:rsid w:val="00F0304A"/>
    <w:rsid w:val="00F03A31"/>
    <w:rsid w:val="00F060D5"/>
    <w:rsid w:val="00F07C84"/>
    <w:rsid w:val="00F12656"/>
    <w:rsid w:val="00F128F7"/>
    <w:rsid w:val="00F162B5"/>
    <w:rsid w:val="00F22735"/>
    <w:rsid w:val="00F230F1"/>
    <w:rsid w:val="00F2376D"/>
    <w:rsid w:val="00F238F1"/>
    <w:rsid w:val="00F256A0"/>
    <w:rsid w:val="00F30468"/>
    <w:rsid w:val="00F369A2"/>
    <w:rsid w:val="00F402D6"/>
    <w:rsid w:val="00F43E82"/>
    <w:rsid w:val="00F44E7E"/>
    <w:rsid w:val="00F473AF"/>
    <w:rsid w:val="00F47C7D"/>
    <w:rsid w:val="00F50E5C"/>
    <w:rsid w:val="00F53EF6"/>
    <w:rsid w:val="00F57D9C"/>
    <w:rsid w:val="00F63E3A"/>
    <w:rsid w:val="00F66A26"/>
    <w:rsid w:val="00F70594"/>
    <w:rsid w:val="00F719BB"/>
    <w:rsid w:val="00F81481"/>
    <w:rsid w:val="00F8424F"/>
    <w:rsid w:val="00F865B3"/>
    <w:rsid w:val="00FA05DF"/>
    <w:rsid w:val="00FA06DF"/>
    <w:rsid w:val="00FB3C5A"/>
    <w:rsid w:val="00FB4F07"/>
    <w:rsid w:val="00FB5644"/>
    <w:rsid w:val="00FB6FAE"/>
    <w:rsid w:val="00FE1D2C"/>
    <w:rsid w:val="00FE2482"/>
    <w:rsid w:val="00FE2846"/>
    <w:rsid w:val="00FE3A28"/>
    <w:rsid w:val="00FE570A"/>
    <w:rsid w:val="00FE7E84"/>
    <w:rsid w:val="00FF1CD4"/>
    <w:rsid w:val="00FF344B"/>
    <w:rsid w:val="00FF3834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2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259"/>
  </w:style>
  <w:style w:type="paragraph" w:styleId="Pidipagina">
    <w:name w:val="footer"/>
    <w:basedOn w:val="Normale"/>
    <w:link w:val="PidipaginaCarattere"/>
    <w:uiPriority w:val="99"/>
    <w:unhideWhenUsed/>
    <w:rsid w:val="000E2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2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E225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376D"/>
    <w:pPr>
      <w:spacing w:after="0" w:line="240" w:lineRule="auto"/>
      <w:ind w:left="720"/>
    </w:pPr>
  </w:style>
  <w:style w:type="paragraph" w:customStyle="1" w:styleId="Default">
    <w:name w:val="Default"/>
    <w:rsid w:val="002109D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10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2109D3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2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259"/>
  </w:style>
  <w:style w:type="paragraph" w:styleId="Pidipagina">
    <w:name w:val="footer"/>
    <w:basedOn w:val="Normale"/>
    <w:link w:val="PidipaginaCarattere"/>
    <w:uiPriority w:val="99"/>
    <w:unhideWhenUsed/>
    <w:rsid w:val="000E2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2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E225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376D"/>
    <w:pPr>
      <w:spacing w:after="0" w:line="240" w:lineRule="auto"/>
      <w:ind w:left="720"/>
    </w:pPr>
  </w:style>
  <w:style w:type="paragraph" w:customStyle="1" w:styleId="Default">
    <w:name w:val="Default"/>
    <w:rsid w:val="002109D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10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2109D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ac1:Users:colnaghifigini1:Desktop:CartaIntestataGPS2.jpg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DDFA-E185-47A2-AE83-55933DB3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Gabetti</Company>
  <LinksUpToDate>false</LinksUpToDate>
  <CharactersWithSpaces>4899</CharactersWithSpaces>
  <SharedDoc>false</SharedDoc>
  <HLinks>
    <vt:vector size="6" baseType="variant">
      <vt:variant>
        <vt:i4>4784219</vt:i4>
      </vt:variant>
      <vt:variant>
        <vt:i4>-1</vt:i4>
      </vt:variant>
      <vt:variant>
        <vt:i4>2049</vt:i4>
      </vt:variant>
      <vt:variant>
        <vt:i4>1</vt:i4>
      </vt:variant>
      <vt:variant>
        <vt:lpwstr>Mac1:Users:colnaghifigini1:Desktop:CartaIntestataGPS2.jpg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Chiara Grandino - Gabetti Property Solutions</cp:lastModifiedBy>
  <cp:revision>2</cp:revision>
  <cp:lastPrinted>2018-11-22T11:10:00Z</cp:lastPrinted>
  <dcterms:created xsi:type="dcterms:W3CDTF">2019-12-02T16:44:00Z</dcterms:created>
  <dcterms:modified xsi:type="dcterms:W3CDTF">2019-12-02T16:44:00Z</dcterms:modified>
</cp:coreProperties>
</file>